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27F62" w14:textId="04C2C60D" w:rsidR="008211AD" w:rsidRPr="00837F61" w:rsidRDefault="00AF00D4" w:rsidP="00837F61">
      <w:pPr>
        <w:jc w:val="center"/>
        <w:rPr>
          <w:b/>
          <w:bCs/>
          <w:sz w:val="32"/>
          <w:szCs w:val="32"/>
        </w:rPr>
      </w:pPr>
      <w:r w:rsidRPr="00837F61">
        <w:rPr>
          <w:b/>
          <w:bCs/>
          <w:sz w:val="32"/>
          <w:szCs w:val="32"/>
        </w:rPr>
        <w:t xml:space="preserve">Termes de </w:t>
      </w:r>
      <w:r w:rsidR="00CA46B8">
        <w:rPr>
          <w:b/>
          <w:bCs/>
          <w:sz w:val="32"/>
          <w:szCs w:val="32"/>
        </w:rPr>
        <w:t>r</w:t>
      </w:r>
      <w:r w:rsidRPr="00837F61">
        <w:rPr>
          <w:b/>
          <w:bCs/>
          <w:sz w:val="32"/>
          <w:szCs w:val="32"/>
        </w:rPr>
        <w:t xml:space="preserve">éférence pour la réalisation d’une cartographie et une analyse des résultats des projets financés par </w:t>
      </w:r>
      <w:r w:rsidR="00597A3B" w:rsidRPr="00837F61">
        <w:rPr>
          <w:b/>
          <w:bCs/>
          <w:sz w:val="32"/>
          <w:szCs w:val="32"/>
        </w:rPr>
        <w:t xml:space="preserve">le </w:t>
      </w:r>
      <w:r w:rsidRPr="00837F61">
        <w:rPr>
          <w:b/>
          <w:bCs/>
          <w:sz w:val="32"/>
          <w:szCs w:val="32"/>
        </w:rPr>
        <w:t>FNUD en Tunisie</w:t>
      </w:r>
    </w:p>
    <w:p w14:paraId="4BD008F5" w14:textId="77777777" w:rsidR="004C43E4" w:rsidRPr="004C43E4" w:rsidRDefault="004C43E4" w:rsidP="004C43E4">
      <w:pPr>
        <w:rPr>
          <w:sz w:val="32"/>
          <w:szCs w:val="32"/>
        </w:rPr>
      </w:pPr>
    </w:p>
    <w:p w14:paraId="1E0CCAA1" w14:textId="21068047" w:rsidR="00AF00D4" w:rsidRPr="004C43E4" w:rsidRDefault="004C43E4" w:rsidP="00A333C7">
      <w:pPr>
        <w:jc w:val="both"/>
        <w:rPr>
          <w:sz w:val="24"/>
          <w:szCs w:val="24"/>
        </w:rPr>
      </w:pPr>
      <w:r w:rsidRPr="004C43E4">
        <w:rPr>
          <w:sz w:val="24"/>
          <w:szCs w:val="24"/>
        </w:rPr>
        <w:t>Dans le cadre d’un nouveau projet « </w:t>
      </w:r>
      <w:r w:rsidR="00216CDD">
        <w:rPr>
          <w:sz w:val="24"/>
          <w:szCs w:val="24"/>
        </w:rPr>
        <w:t>We for Democracy</w:t>
      </w:r>
      <w:r w:rsidRPr="004C43E4">
        <w:rPr>
          <w:sz w:val="24"/>
          <w:szCs w:val="24"/>
        </w:rPr>
        <w:t xml:space="preserve"> » financé par Le Fonds des Nations </w:t>
      </w:r>
      <w:r w:rsidR="00D15D3D">
        <w:rPr>
          <w:sz w:val="24"/>
          <w:szCs w:val="24"/>
        </w:rPr>
        <w:t>U</w:t>
      </w:r>
      <w:r w:rsidRPr="004C43E4">
        <w:rPr>
          <w:sz w:val="24"/>
          <w:szCs w:val="24"/>
        </w:rPr>
        <w:t xml:space="preserve">nies pour la </w:t>
      </w:r>
      <w:r w:rsidR="00D15D3D">
        <w:rPr>
          <w:sz w:val="24"/>
          <w:szCs w:val="24"/>
        </w:rPr>
        <w:t>D</w:t>
      </w:r>
      <w:r w:rsidRPr="004C43E4">
        <w:rPr>
          <w:sz w:val="24"/>
          <w:szCs w:val="24"/>
        </w:rPr>
        <w:t>émocratie (FNUD), l’association FREE SIGHT recherche un/une expert (e) pour la réalisation d’une cartographie et une analyse des résultats des projets financés par le FNUD en Tunisie</w:t>
      </w:r>
      <w:r>
        <w:rPr>
          <w:sz w:val="24"/>
          <w:szCs w:val="24"/>
        </w:rPr>
        <w:t>.</w:t>
      </w:r>
    </w:p>
    <w:p w14:paraId="1A83B0BA" w14:textId="77777777" w:rsidR="00AF00D4" w:rsidRPr="00CA46B8" w:rsidRDefault="00AF00D4" w:rsidP="00A333C7">
      <w:pPr>
        <w:jc w:val="both"/>
        <w:rPr>
          <w:sz w:val="24"/>
          <w:szCs w:val="24"/>
        </w:rPr>
      </w:pPr>
    </w:p>
    <w:p w14:paraId="6E4C51C3" w14:textId="4644EA70" w:rsidR="00AF00D4" w:rsidRPr="00CA46B8" w:rsidRDefault="00AF00D4" w:rsidP="00A333C7">
      <w:pPr>
        <w:jc w:val="both"/>
        <w:rPr>
          <w:b/>
          <w:bCs/>
          <w:sz w:val="24"/>
          <w:szCs w:val="24"/>
        </w:rPr>
      </w:pPr>
      <w:r w:rsidRPr="00CA46B8">
        <w:rPr>
          <w:b/>
          <w:bCs/>
          <w:sz w:val="24"/>
          <w:szCs w:val="24"/>
        </w:rPr>
        <w:t>1-Contexte :</w:t>
      </w:r>
    </w:p>
    <w:p w14:paraId="4374A31C" w14:textId="46E7A5F3" w:rsidR="005B6052" w:rsidRPr="00CA46B8" w:rsidRDefault="005B6052" w:rsidP="00A333C7">
      <w:pPr>
        <w:pStyle w:val="Paragraphedeliste"/>
        <w:numPr>
          <w:ilvl w:val="1"/>
          <w:numId w:val="2"/>
        </w:numPr>
        <w:jc w:val="both"/>
        <w:rPr>
          <w:b/>
          <w:bCs/>
          <w:sz w:val="24"/>
          <w:szCs w:val="24"/>
        </w:rPr>
      </w:pPr>
      <w:r w:rsidRPr="00CA46B8">
        <w:rPr>
          <w:b/>
          <w:bCs/>
          <w:sz w:val="24"/>
          <w:szCs w:val="24"/>
        </w:rPr>
        <w:t>Présentation de FREE SIGHT ASSOCIATION</w:t>
      </w:r>
    </w:p>
    <w:p w14:paraId="40FCA807" w14:textId="54E2742F" w:rsidR="00D15D3D" w:rsidRPr="00F02B54" w:rsidRDefault="00D15D3D" w:rsidP="00A333C7">
      <w:pPr>
        <w:pStyle w:val="Paragraphedeliste"/>
        <w:jc w:val="both"/>
        <w:rPr>
          <w:sz w:val="24"/>
          <w:szCs w:val="24"/>
        </w:rPr>
      </w:pPr>
      <w:r w:rsidRPr="00D15D3D">
        <w:rPr>
          <w:sz w:val="24"/>
          <w:szCs w:val="24"/>
        </w:rPr>
        <w:t xml:space="preserve">FREE SIGHT ASSOCIATION est une association de jeunesse, tunisienne, à but non lucratif indépendante et non gouvernementale créée le 26 décembre 2011 (après la révolution), publiée dans le JORT le 25 février 2012. FSA travail principalement sur les droits des femmes et l’autonomisation des jeunes. Parmi les expériences passées, FSA a implémenté des tables rondes participatives dans </w:t>
      </w:r>
      <w:r>
        <w:rPr>
          <w:sz w:val="24"/>
          <w:szCs w:val="24"/>
        </w:rPr>
        <w:t xml:space="preserve">tous les </w:t>
      </w:r>
      <w:r w:rsidRPr="00D15D3D">
        <w:rPr>
          <w:sz w:val="24"/>
          <w:szCs w:val="24"/>
        </w:rPr>
        <w:t xml:space="preserve">gouvernorats de la Tunisie (Nord, Centre et Sud), </w:t>
      </w:r>
      <w:r>
        <w:rPr>
          <w:sz w:val="24"/>
          <w:szCs w:val="24"/>
        </w:rPr>
        <w:t>des</w:t>
      </w:r>
      <w:r w:rsidRPr="00D15D3D">
        <w:rPr>
          <w:sz w:val="24"/>
          <w:szCs w:val="24"/>
        </w:rPr>
        <w:t xml:space="preserve"> programme</w:t>
      </w:r>
      <w:r w:rsidR="00F02B54">
        <w:rPr>
          <w:sz w:val="24"/>
          <w:szCs w:val="24"/>
        </w:rPr>
        <w:t>s</w:t>
      </w:r>
      <w:r w:rsidRPr="00D15D3D">
        <w:rPr>
          <w:sz w:val="24"/>
          <w:szCs w:val="24"/>
        </w:rPr>
        <w:t xml:space="preserve"> de renforcement des capacités </w:t>
      </w:r>
      <w:r>
        <w:rPr>
          <w:sz w:val="24"/>
          <w:szCs w:val="24"/>
        </w:rPr>
        <w:t>(</w:t>
      </w:r>
      <w:r w:rsidRPr="00D15D3D">
        <w:rPr>
          <w:sz w:val="24"/>
          <w:szCs w:val="24"/>
        </w:rPr>
        <w:t>sur « l’approche genre et les mécanismes de plaidoyer, renforcement des capacités des activistes Tunisien-ne-s »</w:t>
      </w:r>
      <w:r>
        <w:rPr>
          <w:sz w:val="24"/>
          <w:szCs w:val="24"/>
        </w:rPr>
        <w:t xml:space="preserve"> et d’autres thématiques en relation)</w:t>
      </w:r>
      <w:r w:rsidRPr="00D15D3D">
        <w:rPr>
          <w:sz w:val="24"/>
          <w:szCs w:val="24"/>
        </w:rPr>
        <w:t>.</w:t>
      </w:r>
      <w:r w:rsidR="00F02B54">
        <w:rPr>
          <w:sz w:val="24"/>
          <w:szCs w:val="24"/>
        </w:rPr>
        <w:t xml:space="preserve"> Durant ses 12 ans d’exixtance sur terrain, </w:t>
      </w:r>
      <w:r w:rsidRPr="00F02B54">
        <w:rPr>
          <w:sz w:val="24"/>
          <w:szCs w:val="24"/>
        </w:rPr>
        <w:t>FSA a mené en collaboration avec ses partenaires des associations locales et les réseaux qu’elle a fondé avec eux les projets suivants : «Femmes Leaders»  sur le renforcement des capacités des femmes afin d'augmenter leur participation aux élections municipales, «Genderist» sur l'approche genre dans les politiques locales, ce qui a permis à l’association d’acquérir une bonne expérience en renforcement des capacités du public cible jeunes des différents gouvernorats de la Tunisie en leadership. FSA a organisé plusieurs séminaires et campagnes de sensibilisation et mobilisation pour les droits des. En outre, FSA focalise dans ses axes de travail sur l’égalité du genre au contenu et objectifs de ses projets aussi bien en ses publics cibles.</w:t>
      </w:r>
    </w:p>
    <w:p w14:paraId="55D11635" w14:textId="77777777" w:rsidR="005B6052" w:rsidRPr="00CA46B8" w:rsidRDefault="005B6052" w:rsidP="00A333C7">
      <w:pPr>
        <w:pStyle w:val="Paragraphedeliste"/>
        <w:jc w:val="both"/>
        <w:rPr>
          <w:b/>
          <w:bCs/>
          <w:sz w:val="24"/>
          <w:szCs w:val="24"/>
        </w:rPr>
      </w:pPr>
    </w:p>
    <w:p w14:paraId="15BBC810" w14:textId="439282A8" w:rsidR="005B6052" w:rsidRPr="004C43E4" w:rsidRDefault="005B6052" w:rsidP="00A333C7">
      <w:pPr>
        <w:pStyle w:val="Paragraphedeliste"/>
        <w:numPr>
          <w:ilvl w:val="1"/>
          <w:numId w:val="2"/>
        </w:numPr>
        <w:jc w:val="both"/>
        <w:rPr>
          <w:b/>
          <w:bCs/>
          <w:sz w:val="24"/>
          <w:szCs w:val="24"/>
        </w:rPr>
      </w:pPr>
      <w:r w:rsidRPr="00CA46B8">
        <w:rPr>
          <w:b/>
          <w:bCs/>
          <w:sz w:val="24"/>
          <w:szCs w:val="24"/>
        </w:rPr>
        <w:t xml:space="preserve">Présentation du projet </w:t>
      </w:r>
      <w:r w:rsidRPr="00216CDD">
        <w:rPr>
          <w:b/>
          <w:bCs/>
          <w:sz w:val="24"/>
          <w:szCs w:val="24"/>
        </w:rPr>
        <w:t>« </w:t>
      </w:r>
      <w:r w:rsidR="00216CDD" w:rsidRPr="00216CDD">
        <w:rPr>
          <w:b/>
          <w:bCs/>
          <w:sz w:val="24"/>
          <w:szCs w:val="24"/>
        </w:rPr>
        <w:t>We for Democracy </w:t>
      </w:r>
      <w:r w:rsidRPr="00216CDD">
        <w:rPr>
          <w:b/>
          <w:bCs/>
          <w:sz w:val="24"/>
          <w:szCs w:val="24"/>
        </w:rPr>
        <w:t>»</w:t>
      </w:r>
    </w:p>
    <w:p w14:paraId="5314F888" w14:textId="077E27D4" w:rsidR="00AF00D4" w:rsidRPr="00CA46B8" w:rsidRDefault="00D15D3D" w:rsidP="00A333C7">
      <w:pPr>
        <w:jc w:val="both"/>
        <w:rPr>
          <w:sz w:val="24"/>
          <w:szCs w:val="24"/>
        </w:rPr>
      </w:pPr>
      <w:r>
        <w:rPr>
          <w:sz w:val="24"/>
          <w:szCs w:val="24"/>
        </w:rPr>
        <w:t xml:space="preserve">Le projet </w:t>
      </w:r>
      <w:r w:rsidRPr="00D15D3D">
        <w:rPr>
          <w:sz w:val="24"/>
          <w:szCs w:val="24"/>
        </w:rPr>
        <w:t>vise à renforcer le rôle de la société civile en Tunisie afin de promouvoir la démocratie participative décentralisée, via le biais de renforcement les capacités de 40 associations locales des 20 gouvernorats de la Tunisie, novices et/ou en difficultés, la mise en pratique et la mise en réseau pour la mobilisation et la durabilité. Le projet vise également à lancer un dialogues communautaires participatif avec échange d’expériences et des bonnes pratiques nationales et internationales.</w:t>
      </w:r>
    </w:p>
    <w:p w14:paraId="50A5A441" w14:textId="77777777" w:rsidR="005B6052" w:rsidRPr="00CA46B8" w:rsidRDefault="005B6052" w:rsidP="00A333C7">
      <w:pPr>
        <w:jc w:val="both"/>
        <w:rPr>
          <w:sz w:val="24"/>
          <w:szCs w:val="24"/>
        </w:rPr>
      </w:pPr>
    </w:p>
    <w:p w14:paraId="221A5D54" w14:textId="7E5B7A60" w:rsidR="00AF00D4" w:rsidRPr="00CA46B8" w:rsidRDefault="00AF00D4" w:rsidP="00A333C7">
      <w:pPr>
        <w:jc w:val="both"/>
        <w:rPr>
          <w:b/>
          <w:bCs/>
          <w:sz w:val="24"/>
          <w:szCs w:val="24"/>
        </w:rPr>
      </w:pPr>
      <w:r w:rsidRPr="00CA46B8">
        <w:rPr>
          <w:b/>
          <w:bCs/>
          <w:sz w:val="24"/>
          <w:szCs w:val="24"/>
        </w:rPr>
        <w:t>2-Objectifs de la mission </w:t>
      </w:r>
    </w:p>
    <w:p w14:paraId="50796175" w14:textId="77777777" w:rsidR="000003A9" w:rsidRPr="00CA46B8" w:rsidRDefault="000003A9" w:rsidP="00A333C7">
      <w:pPr>
        <w:jc w:val="both"/>
        <w:rPr>
          <w:b/>
          <w:bCs/>
          <w:sz w:val="24"/>
          <w:szCs w:val="24"/>
        </w:rPr>
      </w:pPr>
      <w:r w:rsidRPr="00CA46B8">
        <w:rPr>
          <w:b/>
          <w:bCs/>
          <w:sz w:val="24"/>
          <w:szCs w:val="24"/>
        </w:rPr>
        <w:lastRenderedPageBreak/>
        <w:t xml:space="preserve">Objectif global : </w:t>
      </w:r>
    </w:p>
    <w:p w14:paraId="48044452" w14:textId="3C0D1486" w:rsidR="00AF00D4" w:rsidRPr="00CA46B8" w:rsidRDefault="00AF00D4" w:rsidP="00A333C7">
      <w:pPr>
        <w:jc w:val="both"/>
        <w:rPr>
          <w:sz w:val="24"/>
          <w:szCs w:val="24"/>
        </w:rPr>
      </w:pPr>
      <w:r w:rsidRPr="00CA46B8">
        <w:rPr>
          <w:sz w:val="24"/>
          <w:szCs w:val="24"/>
        </w:rPr>
        <w:t>L’objectif global de la mission est d’élaborer une cartographie de tous les projets financé par le FNU</w:t>
      </w:r>
      <w:r w:rsidR="006D5317" w:rsidRPr="00CA46B8">
        <w:rPr>
          <w:sz w:val="24"/>
          <w:szCs w:val="24"/>
        </w:rPr>
        <w:t>D</w:t>
      </w:r>
      <w:r w:rsidRPr="00CA46B8">
        <w:rPr>
          <w:sz w:val="24"/>
          <w:szCs w:val="24"/>
        </w:rPr>
        <w:t xml:space="preserve"> en Tunisie et d’analyser les résultats et les principales bonnes pratiques significatives identifiées au niveau de chaque projet.</w:t>
      </w:r>
    </w:p>
    <w:p w14:paraId="448524FE" w14:textId="77777777" w:rsidR="000003A9" w:rsidRPr="00CA46B8" w:rsidRDefault="000003A9" w:rsidP="00A333C7">
      <w:pPr>
        <w:jc w:val="both"/>
        <w:rPr>
          <w:b/>
          <w:bCs/>
          <w:sz w:val="24"/>
          <w:szCs w:val="24"/>
        </w:rPr>
      </w:pPr>
      <w:r w:rsidRPr="00CA46B8">
        <w:rPr>
          <w:b/>
          <w:bCs/>
          <w:sz w:val="24"/>
          <w:szCs w:val="24"/>
        </w:rPr>
        <w:t xml:space="preserve">Objectifs spécifiques : </w:t>
      </w:r>
    </w:p>
    <w:p w14:paraId="3B113630" w14:textId="54E7D340" w:rsidR="00AF00D4" w:rsidRPr="00CA46B8" w:rsidRDefault="000003A9" w:rsidP="00A333C7">
      <w:pPr>
        <w:jc w:val="both"/>
        <w:rPr>
          <w:sz w:val="24"/>
          <w:szCs w:val="24"/>
        </w:rPr>
      </w:pPr>
      <w:r w:rsidRPr="00CA46B8">
        <w:rPr>
          <w:sz w:val="24"/>
          <w:szCs w:val="24"/>
        </w:rPr>
        <w:t>De façon plus spécifique, cette étude vise à :</w:t>
      </w:r>
    </w:p>
    <w:p w14:paraId="117DD742" w14:textId="72FE75F9" w:rsidR="00CA46B8" w:rsidRDefault="006D5317" w:rsidP="00A333C7">
      <w:pPr>
        <w:pStyle w:val="Paragraphedeliste"/>
        <w:numPr>
          <w:ilvl w:val="0"/>
          <w:numId w:val="3"/>
        </w:numPr>
        <w:jc w:val="both"/>
        <w:rPr>
          <w:sz w:val="24"/>
          <w:szCs w:val="24"/>
        </w:rPr>
      </w:pPr>
      <w:r w:rsidRPr="00CA46B8">
        <w:rPr>
          <w:sz w:val="24"/>
          <w:szCs w:val="24"/>
        </w:rPr>
        <w:t>Identifier et cartographier les projets financés par le FNUD</w:t>
      </w:r>
      <w:r w:rsidR="00C102CE" w:rsidRPr="00CA46B8">
        <w:rPr>
          <w:sz w:val="24"/>
          <w:szCs w:val="24"/>
        </w:rPr>
        <w:t xml:space="preserve">, les projets recensés doivent être </w:t>
      </w:r>
      <w:r w:rsidR="001F070E" w:rsidRPr="00CA46B8">
        <w:rPr>
          <w:sz w:val="24"/>
          <w:szCs w:val="24"/>
        </w:rPr>
        <w:t xml:space="preserve">présentés et </w:t>
      </w:r>
      <w:r w:rsidR="00C102CE" w:rsidRPr="00CA46B8">
        <w:rPr>
          <w:sz w:val="24"/>
          <w:szCs w:val="24"/>
        </w:rPr>
        <w:t xml:space="preserve">classés en fonction des critères </w:t>
      </w:r>
      <w:r w:rsidR="001F070E" w:rsidRPr="00CA46B8">
        <w:rPr>
          <w:sz w:val="24"/>
          <w:szCs w:val="24"/>
        </w:rPr>
        <w:t>tels que</w:t>
      </w:r>
      <w:r w:rsidR="00C102CE" w:rsidRPr="00CA46B8">
        <w:rPr>
          <w:sz w:val="24"/>
          <w:szCs w:val="24"/>
        </w:rPr>
        <w:t xml:space="preserve"> (Secteur/thématique, catégories, zone/lieu, objectifs, </w:t>
      </w:r>
      <w:r w:rsidR="00216CDD">
        <w:rPr>
          <w:sz w:val="24"/>
          <w:szCs w:val="24"/>
        </w:rPr>
        <w:t xml:space="preserve">résultats, réalisations, </w:t>
      </w:r>
      <w:r w:rsidR="00C102CE" w:rsidRPr="00CA46B8">
        <w:rPr>
          <w:sz w:val="24"/>
          <w:szCs w:val="24"/>
        </w:rPr>
        <w:t>acteurs, cibles,</w:t>
      </w:r>
      <w:r w:rsidR="00216CDD">
        <w:rPr>
          <w:sz w:val="24"/>
          <w:szCs w:val="24"/>
        </w:rPr>
        <w:t xml:space="preserve"> bénéficiaires</w:t>
      </w:r>
      <w:r w:rsidR="00C102CE" w:rsidRPr="00CA46B8">
        <w:rPr>
          <w:sz w:val="24"/>
          <w:szCs w:val="24"/>
        </w:rPr>
        <w:t xml:space="preserve"> etc.)</w:t>
      </w:r>
      <w:r w:rsidR="001F070E" w:rsidRPr="00CA46B8">
        <w:rPr>
          <w:sz w:val="24"/>
          <w:szCs w:val="24"/>
        </w:rPr>
        <w:t xml:space="preserve">. </w:t>
      </w:r>
      <w:r w:rsidR="00216CDD">
        <w:rPr>
          <w:sz w:val="24"/>
          <w:szCs w:val="24"/>
        </w:rPr>
        <w:br/>
      </w:r>
      <w:r w:rsidR="00C102CE" w:rsidRPr="00CA46B8">
        <w:rPr>
          <w:sz w:val="24"/>
          <w:szCs w:val="24"/>
        </w:rPr>
        <w:t>Plusieurs types ou niveaux d’information pourront être intégrés, en fonction de la finalité de l’analyse</w:t>
      </w:r>
      <w:r w:rsidR="005B6052" w:rsidRPr="00CA46B8">
        <w:rPr>
          <w:sz w:val="24"/>
          <w:szCs w:val="24"/>
        </w:rPr>
        <w:t> ;</w:t>
      </w:r>
      <w:r w:rsidR="00C102CE" w:rsidRPr="00CA46B8">
        <w:rPr>
          <w:sz w:val="24"/>
          <w:szCs w:val="24"/>
        </w:rPr>
        <w:t xml:space="preserve"> </w:t>
      </w:r>
    </w:p>
    <w:p w14:paraId="1EE5B0FA" w14:textId="77777777" w:rsidR="00CA46B8" w:rsidRDefault="000003A9" w:rsidP="00A333C7">
      <w:pPr>
        <w:pStyle w:val="Paragraphedeliste"/>
        <w:numPr>
          <w:ilvl w:val="0"/>
          <w:numId w:val="3"/>
        </w:numPr>
        <w:jc w:val="both"/>
        <w:rPr>
          <w:sz w:val="24"/>
          <w:szCs w:val="24"/>
        </w:rPr>
      </w:pPr>
      <w:r w:rsidRPr="00CA46B8">
        <w:rPr>
          <w:sz w:val="24"/>
          <w:szCs w:val="24"/>
        </w:rPr>
        <w:t xml:space="preserve">Identifier, formaliser et valoriser </w:t>
      </w:r>
      <w:r w:rsidR="006D5317" w:rsidRPr="00CA46B8">
        <w:rPr>
          <w:sz w:val="24"/>
          <w:szCs w:val="24"/>
        </w:rPr>
        <w:t xml:space="preserve">les bonnes pratiques et leçons apprises en mettant en évidence les résultats atteints axé sur les approches et méthodes d’implémentations des activités </w:t>
      </w:r>
      <w:r w:rsidRPr="00CA46B8">
        <w:rPr>
          <w:sz w:val="24"/>
          <w:szCs w:val="24"/>
        </w:rPr>
        <w:t>développés dans le cadre de chaque projet</w:t>
      </w:r>
      <w:r w:rsidR="005B6052" w:rsidRPr="00CA46B8">
        <w:rPr>
          <w:sz w:val="24"/>
          <w:szCs w:val="24"/>
        </w:rPr>
        <w:t> ;</w:t>
      </w:r>
    </w:p>
    <w:p w14:paraId="084413F1" w14:textId="519CCB6D" w:rsidR="000003A9" w:rsidRPr="00CA46B8" w:rsidRDefault="000003A9" w:rsidP="00A333C7">
      <w:pPr>
        <w:pStyle w:val="Paragraphedeliste"/>
        <w:numPr>
          <w:ilvl w:val="0"/>
          <w:numId w:val="3"/>
        </w:numPr>
        <w:jc w:val="both"/>
        <w:rPr>
          <w:sz w:val="24"/>
          <w:szCs w:val="24"/>
        </w:rPr>
      </w:pPr>
      <w:r w:rsidRPr="00CA46B8">
        <w:rPr>
          <w:sz w:val="24"/>
          <w:szCs w:val="24"/>
        </w:rPr>
        <w:t xml:space="preserve">Se servir des bonnes pratiques comme connaissance </w:t>
      </w:r>
      <w:r w:rsidRPr="00CA46B8">
        <w:rPr>
          <w:rFonts w:ascii="Calibri" w:hAnsi="Calibri" w:cs="Calibri"/>
          <w:sz w:val="24"/>
          <w:szCs w:val="24"/>
        </w:rPr>
        <w:t>à</w:t>
      </w:r>
      <w:r w:rsidRPr="00CA46B8">
        <w:rPr>
          <w:sz w:val="24"/>
          <w:szCs w:val="24"/>
        </w:rPr>
        <w:t xml:space="preserve"> partager avec d</w:t>
      </w:r>
      <w:r w:rsidRPr="00CA46B8">
        <w:rPr>
          <w:rFonts w:ascii="Calibri" w:hAnsi="Calibri" w:cs="Calibri"/>
          <w:sz w:val="24"/>
          <w:szCs w:val="24"/>
        </w:rPr>
        <w:t>’</w:t>
      </w:r>
      <w:r w:rsidRPr="00CA46B8">
        <w:rPr>
          <w:sz w:val="24"/>
          <w:szCs w:val="24"/>
        </w:rPr>
        <w:t xml:space="preserve">autres acteurs ou partenaires de mise en </w:t>
      </w:r>
      <w:r w:rsidRPr="00CA46B8">
        <w:rPr>
          <w:rFonts w:ascii="Calibri" w:hAnsi="Calibri" w:cs="Calibri"/>
          <w:sz w:val="24"/>
          <w:szCs w:val="24"/>
        </w:rPr>
        <w:t>œ</w:t>
      </w:r>
      <w:r w:rsidRPr="00CA46B8">
        <w:rPr>
          <w:sz w:val="24"/>
          <w:szCs w:val="24"/>
        </w:rPr>
        <w:t>uvre du projet « </w:t>
      </w:r>
      <w:r w:rsidR="00216CDD">
        <w:rPr>
          <w:sz w:val="24"/>
          <w:szCs w:val="24"/>
        </w:rPr>
        <w:t>We for Democracy</w:t>
      </w:r>
      <w:r w:rsidR="00216CDD" w:rsidRPr="004C43E4">
        <w:rPr>
          <w:sz w:val="24"/>
          <w:szCs w:val="24"/>
        </w:rPr>
        <w:t> </w:t>
      </w:r>
      <w:r w:rsidRPr="00CA46B8">
        <w:rPr>
          <w:sz w:val="24"/>
          <w:szCs w:val="24"/>
        </w:rPr>
        <w:t>».</w:t>
      </w:r>
    </w:p>
    <w:p w14:paraId="6A432B1E" w14:textId="77777777" w:rsidR="00597A3B" w:rsidRPr="00CA46B8" w:rsidRDefault="00597A3B" w:rsidP="00A333C7">
      <w:pPr>
        <w:jc w:val="both"/>
        <w:rPr>
          <w:sz w:val="24"/>
          <w:szCs w:val="24"/>
        </w:rPr>
      </w:pPr>
    </w:p>
    <w:p w14:paraId="3D86C884" w14:textId="53FCBE39" w:rsidR="00597A3B" w:rsidRPr="00CA46B8" w:rsidRDefault="00597A3B" w:rsidP="00A333C7">
      <w:pPr>
        <w:jc w:val="both"/>
        <w:rPr>
          <w:b/>
          <w:bCs/>
          <w:sz w:val="24"/>
          <w:szCs w:val="24"/>
        </w:rPr>
      </w:pPr>
      <w:r w:rsidRPr="00CA46B8">
        <w:rPr>
          <w:b/>
          <w:bCs/>
          <w:sz w:val="24"/>
          <w:szCs w:val="24"/>
        </w:rPr>
        <w:t xml:space="preserve">3-Profil de l’expert </w:t>
      </w:r>
    </w:p>
    <w:p w14:paraId="6A0824F5" w14:textId="77777777" w:rsidR="00CA46B8" w:rsidRDefault="00597A3B" w:rsidP="00A333C7">
      <w:pPr>
        <w:pStyle w:val="Paragraphedeliste"/>
        <w:numPr>
          <w:ilvl w:val="0"/>
          <w:numId w:val="4"/>
        </w:numPr>
        <w:jc w:val="both"/>
        <w:rPr>
          <w:sz w:val="24"/>
          <w:szCs w:val="24"/>
        </w:rPr>
      </w:pPr>
      <w:r w:rsidRPr="00CA46B8">
        <w:rPr>
          <w:sz w:val="24"/>
          <w:szCs w:val="24"/>
        </w:rPr>
        <w:t>Diplôme Universitaire pertinent par rapport aux termes de référence (relations Internationale, gestion de projets, Sciences politiques ou sociales, etc.)</w:t>
      </w:r>
      <w:r w:rsidR="005B6052" w:rsidRPr="00CA46B8">
        <w:rPr>
          <w:sz w:val="24"/>
          <w:szCs w:val="24"/>
        </w:rPr>
        <w:t> ;</w:t>
      </w:r>
      <w:r w:rsidRPr="00CA46B8">
        <w:rPr>
          <w:sz w:val="24"/>
          <w:szCs w:val="24"/>
        </w:rPr>
        <w:t xml:space="preserve"> </w:t>
      </w:r>
    </w:p>
    <w:p w14:paraId="4B645118" w14:textId="77777777" w:rsidR="00CA46B8" w:rsidRDefault="00597A3B" w:rsidP="00A333C7">
      <w:pPr>
        <w:pStyle w:val="Paragraphedeliste"/>
        <w:numPr>
          <w:ilvl w:val="0"/>
          <w:numId w:val="4"/>
        </w:numPr>
        <w:jc w:val="both"/>
        <w:rPr>
          <w:sz w:val="24"/>
          <w:szCs w:val="24"/>
        </w:rPr>
      </w:pPr>
      <w:r w:rsidRPr="00CA46B8">
        <w:rPr>
          <w:sz w:val="24"/>
          <w:szCs w:val="24"/>
        </w:rPr>
        <w:t>Expérience d’au moins 5 ans dans la réalisation de missions liées au suivi, à l’évaluation</w:t>
      </w:r>
      <w:r w:rsidR="005B6052" w:rsidRPr="00CA46B8">
        <w:rPr>
          <w:sz w:val="24"/>
          <w:szCs w:val="24"/>
        </w:rPr>
        <w:t>,</w:t>
      </w:r>
      <w:r w:rsidRPr="00CA46B8">
        <w:rPr>
          <w:sz w:val="24"/>
          <w:szCs w:val="24"/>
        </w:rPr>
        <w:t xml:space="preserve"> à la recherche, ou à la capitalisation de projets</w:t>
      </w:r>
      <w:r w:rsidR="005B6052" w:rsidRPr="00CA46B8">
        <w:rPr>
          <w:sz w:val="24"/>
          <w:szCs w:val="24"/>
        </w:rPr>
        <w:t> ;</w:t>
      </w:r>
      <w:r w:rsidRPr="00CA46B8">
        <w:rPr>
          <w:sz w:val="24"/>
          <w:szCs w:val="24"/>
        </w:rPr>
        <w:t xml:space="preserve"> </w:t>
      </w:r>
    </w:p>
    <w:p w14:paraId="01863624" w14:textId="77777777" w:rsidR="00CA46B8" w:rsidRDefault="00597A3B" w:rsidP="00A333C7">
      <w:pPr>
        <w:pStyle w:val="Paragraphedeliste"/>
        <w:numPr>
          <w:ilvl w:val="0"/>
          <w:numId w:val="4"/>
        </w:numPr>
        <w:jc w:val="both"/>
        <w:rPr>
          <w:sz w:val="24"/>
          <w:szCs w:val="24"/>
        </w:rPr>
      </w:pPr>
      <w:r w:rsidRPr="00CA46B8">
        <w:rPr>
          <w:sz w:val="24"/>
          <w:szCs w:val="24"/>
        </w:rPr>
        <w:t>Expérience avérée dans la conduite d’étude de capitalisation sur des projets de développement</w:t>
      </w:r>
      <w:r w:rsidR="005B6052" w:rsidRPr="00CA46B8">
        <w:rPr>
          <w:sz w:val="24"/>
          <w:szCs w:val="24"/>
        </w:rPr>
        <w:t> ;</w:t>
      </w:r>
    </w:p>
    <w:p w14:paraId="7D7CD03F" w14:textId="77777777" w:rsidR="00CA46B8" w:rsidRDefault="00597A3B" w:rsidP="00A333C7">
      <w:pPr>
        <w:pStyle w:val="Paragraphedeliste"/>
        <w:numPr>
          <w:ilvl w:val="0"/>
          <w:numId w:val="4"/>
        </w:numPr>
        <w:jc w:val="both"/>
        <w:rPr>
          <w:sz w:val="24"/>
          <w:szCs w:val="24"/>
        </w:rPr>
      </w:pPr>
      <w:r w:rsidRPr="00CA46B8">
        <w:rPr>
          <w:sz w:val="24"/>
          <w:szCs w:val="24"/>
        </w:rPr>
        <w:t>Bonne connaissance des projets de développement ainsi que des institutions internationales</w:t>
      </w:r>
      <w:r w:rsidR="005B6052" w:rsidRPr="00CA46B8">
        <w:rPr>
          <w:sz w:val="24"/>
          <w:szCs w:val="24"/>
        </w:rPr>
        <w:t> ;</w:t>
      </w:r>
      <w:r w:rsidRPr="00CA46B8">
        <w:rPr>
          <w:sz w:val="24"/>
          <w:szCs w:val="24"/>
        </w:rPr>
        <w:t xml:space="preserve"> </w:t>
      </w:r>
    </w:p>
    <w:p w14:paraId="5DB235D7" w14:textId="77777777" w:rsidR="00CA46B8" w:rsidRDefault="00597A3B" w:rsidP="00A333C7">
      <w:pPr>
        <w:pStyle w:val="Paragraphedeliste"/>
        <w:numPr>
          <w:ilvl w:val="0"/>
          <w:numId w:val="4"/>
        </w:numPr>
        <w:ind w:right="-142"/>
        <w:jc w:val="both"/>
        <w:rPr>
          <w:sz w:val="24"/>
          <w:szCs w:val="24"/>
        </w:rPr>
      </w:pPr>
      <w:r w:rsidRPr="00CA46B8">
        <w:rPr>
          <w:sz w:val="24"/>
          <w:szCs w:val="24"/>
        </w:rPr>
        <w:t xml:space="preserve">Excellente compréhension des aspects relatifs à la qualité des projets et programmes ; </w:t>
      </w:r>
    </w:p>
    <w:p w14:paraId="6705A117" w14:textId="77777777" w:rsidR="00CA46B8" w:rsidRDefault="00597A3B" w:rsidP="00A333C7">
      <w:pPr>
        <w:pStyle w:val="Paragraphedeliste"/>
        <w:numPr>
          <w:ilvl w:val="0"/>
          <w:numId w:val="4"/>
        </w:numPr>
        <w:jc w:val="both"/>
        <w:rPr>
          <w:sz w:val="24"/>
          <w:szCs w:val="24"/>
        </w:rPr>
      </w:pPr>
      <w:r w:rsidRPr="00CA46B8">
        <w:rPr>
          <w:sz w:val="24"/>
          <w:szCs w:val="24"/>
        </w:rPr>
        <w:t>Excellentes compétences rédactionnelles, capacité à présenter des documents et des visuels soignés et didactiques</w:t>
      </w:r>
      <w:r w:rsidR="005B6052" w:rsidRPr="00CA46B8">
        <w:rPr>
          <w:sz w:val="24"/>
          <w:szCs w:val="24"/>
        </w:rPr>
        <w:t> ;</w:t>
      </w:r>
      <w:r w:rsidRPr="00CA46B8">
        <w:rPr>
          <w:sz w:val="24"/>
          <w:szCs w:val="24"/>
        </w:rPr>
        <w:t xml:space="preserve"> </w:t>
      </w:r>
    </w:p>
    <w:p w14:paraId="2306C587" w14:textId="0956EE6E" w:rsidR="00597A3B" w:rsidRPr="00CA46B8" w:rsidRDefault="00597A3B" w:rsidP="00A333C7">
      <w:pPr>
        <w:ind w:left="360"/>
        <w:jc w:val="both"/>
        <w:rPr>
          <w:sz w:val="24"/>
          <w:szCs w:val="24"/>
        </w:rPr>
      </w:pPr>
      <w:r w:rsidRPr="00CA46B8">
        <w:rPr>
          <w:b/>
          <w:bCs/>
          <w:sz w:val="24"/>
          <w:szCs w:val="24"/>
        </w:rPr>
        <w:t>Langue exigées</w:t>
      </w:r>
      <w:r w:rsidRPr="00CA46B8">
        <w:rPr>
          <w:sz w:val="24"/>
          <w:szCs w:val="24"/>
        </w:rPr>
        <w:t xml:space="preserve"> : français et arabe</w:t>
      </w:r>
      <w:r w:rsidR="005B6052" w:rsidRPr="00CA46B8">
        <w:rPr>
          <w:sz w:val="24"/>
          <w:szCs w:val="24"/>
        </w:rPr>
        <w:t>.</w:t>
      </w:r>
    </w:p>
    <w:p w14:paraId="780C6F4D" w14:textId="77777777" w:rsidR="00597A3B" w:rsidRPr="00CA46B8" w:rsidRDefault="00597A3B" w:rsidP="00A333C7">
      <w:pPr>
        <w:jc w:val="both"/>
        <w:rPr>
          <w:b/>
          <w:bCs/>
          <w:sz w:val="24"/>
          <w:szCs w:val="24"/>
        </w:rPr>
      </w:pPr>
    </w:p>
    <w:p w14:paraId="43D3B944" w14:textId="108905B6" w:rsidR="00597A3B" w:rsidRPr="00CA46B8" w:rsidRDefault="00837F61" w:rsidP="00A333C7">
      <w:pPr>
        <w:jc w:val="both"/>
        <w:rPr>
          <w:b/>
          <w:bCs/>
          <w:sz w:val="24"/>
          <w:szCs w:val="24"/>
        </w:rPr>
      </w:pPr>
      <w:r w:rsidRPr="00CA46B8">
        <w:rPr>
          <w:b/>
          <w:bCs/>
          <w:sz w:val="24"/>
          <w:szCs w:val="24"/>
        </w:rPr>
        <w:t>4-</w:t>
      </w:r>
      <w:r w:rsidR="00597A3B" w:rsidRPr="00CA46B8">
        <w:rPr>
          <w:b/>
          <w:bCs/>
          <w:sz w:val="24"/>
          <w:szCs w:val="24"/>
        </w:rPr>
        <w:t xml:space="preserve">Durée et livrables attendus de la consultance </w:t>
      </w:r>
    </w:p>
    <w:p w14:paraId="04376E4A" w14:textId="009707F1" w:rsidR="00597A3B" w:rsidRPr="00CA46B8" w:rsidRDefault="00597A3B" w:rsidP="00A333C7">
      <w:pPr>
        <w:jc w:val="both"/>
        <w:rPr>
          <w:sz w:val="24"/>
          <w:szCs w:val="24"/>
        </w:rPr>
      </w:pPr>
      <w:r w:rsidRPr="00CA46B8">
        <w:rPr>
          <w:sz w:val="24"/>
          <w:szCs w:val="24"/>
        </w:rPr>
        <w:t xml:space="preserve">La période d’exécution de la mission est de </w:t>
      </w:r>
      <w:r w:rsidRPr="00CA46B8">
        <w:rPr>
          <w:b/>
          <w:bCs/>
          <w:sz w:val="24"/>
          <w:szCs w:val="24"/>
        </w:rPr>
        <w:t>30 jours au maximum</w:t>
      </w:r>
      <w:r w:rsidRPr="00CA46B8">
        <w:rPr>
          <w:sz w:val="24"/>
          <w:szCs w:val="24"/>
        </w:rPr>
        <w:t xml:space="preserve"> étalé</w:t>
      </w:r>
      <w:r w:rsidR="00CA46B8">
        <w:rPr>
          <w:sz w:val="24"/>
          <w:szCs w:val="24"/>
        </w:rPr>
        <w:t>s</w:t>
      </w:r>
      <w:r w:rsidRPr="00CA46B8">
        <w:rPr>
          <w:sz w:val="24"/>
          <w:szCs w:val="24"/>
        </w:rPr>
        <w:t xml:space="preserve"> sur </w:t>
      </w:r>
      <w:r w:rsidRPr="00CA46B8">
        <w:rPr>
          <w:b/>
          <w:bCs/>
          <w:sz w:val="24"/>
          <w:szCs w:val="24"/>
        </w:rPr>
        <w:t>deux mois</w:t>
      </w:r>
      <w:r w:rsidRPr="00CA46B8">
        <w:rPr>
          <w:sz w:val="24"/>
          <w:szCs w:val="24"/>
        </w:rPr>
        <w:t xml:space="preserve"> à compter de la date de signature du contrat. </w:t>
      </w:r>
    </w:p>
    <w:p w14:paraId="45853CFA" w14:textId="77777777" w:rsidR="00597A3B" w:rsidRPr="00CA46B8" w:rsidRDefault="00597A3B" w:rsidP="00A333C7">
      <w:pPr>
        <w:jc w:val="both"/>
        <w:rPr>
          <w:sz w:val="24"/>
          <w:szCs w:val="24"/>
        </w:rPr>
      </w:pPr>
      <w:r w:rsidRPr="00CA46B8">
        <w:rPr>
          <w:b/>
          <w:bCs/>
          <w:sz w:val="24"/>
          <w:szCs w:val="24"/>
        </w:rPr>
        <w:t>Les livrables attendus de cette mission sont</w:t>
      </w:r>
      <w:r w:rsidRPr="00CA46B8">
        <w:rPr>
          <w:sz w:val="24"/>
          <w:szCs w:val="24"/>
        </w:rPr>
        <w:t xml:space="preserve"> : </w:t>
      </w:r>
    </w:p>
    <w:p w14:paraId="17FB9ECC" w14:textId="77777777" w:rsidR="00CA46B8" w:rsidRDefault="00597A3B" w:rsidP="00A333C7">
      <w:pPr>
        <w:pStyle w:val="Paragraphedeliste"/>
        <w:numPr>
          <w:ilvl w:val="0"/>
          <w:numId w:val="5"/>
        </w:numPr>
        <w:jc w:val="both"/>
        <w:rPr>
          <w:sz w:val="24"/>
          <w:szCs w:val="24"/>
        </w:rPr>
      </w:pPr>
      <w:r w:rsidRPr="00CA46B8">
        <w:rPr>
          <w:sz w:val="24"/>
          <w:szCs w:val="24"/>
        </w:rPr>
        <w:lastRenderedPageBreak/>
        <w:t xml:space="preserve">Une note d’orientation méthodologique incluant la méthodologie et un plan d’action détaillé ; </w:t>
      </w:r>
    </w:p>
    <w:p w14:paraId="7FC3D862" w14:textId="314AA729" w:rsidR="00597A3B" w:rsidRPr="00CA46B8" w:rsidRDefault="00597A3B" w:rsidP="00A333C7">
      <w:pPr>
        <w:pStyle w:val="Paragraphedeliste"/>
        <w:numPr>
          <w:ilvl w:val="0"/>
          <w:numId w:val="5"/>
        </w:numPr>
        <w:jc w:val="both"/>
        <w:rPr>
          <w:sz w:val="24"/>
          <w:szCs w:val="24"/>
        </w:rPr>
      </w:pPr>
      <w:r w:rsidRPr="00CA46B8">
        <w:rPr>
          <w:sz w:val="24"/>
          <w:szCs w:val="24"/>
        </w:rPr>
        <w:t>Un rapport de capitalisation des projets financés par le FNUD.</w:t>
      </w:r>
    </w:p>
    <w:p w14:paraId="7B1579FF" w14:textId="44C67812" w:rsidR="00597A3B" w:rsidRPr="00597A3B" w:rsidRDefault="00837F61" w:rsidP="00A333C7">
      <w:pPr>
        <w:jc w:val="both"/>
        <w:rPr>
          <w:sz w:val="24"/>
          <w:szCs w:val="24"/>
        </w:rPr>
      </w:pPr>
      <w:r w:rsidRPr="00CA46B8">
        <w:rPr>
          <w:b/>
          <w:bCs/>
          <w:sz w:val="24"/>
          <w:szCs w:val="24"/>
        </w:rPr>
        <w:t>5-</w:t>
      </w:r>
      <w:r w:rsidR="00597A3B" w:rsidRPr="00597A3B">
        <w:rPr>
          <w:b/>
          <w:bCs/>
          <w:sz w:val="24"/>
          <w:szCs w:val="24"/>
        </w:rPr>
        <w:t xml:space="preserve">Constitution et Soumission du dossier </w:t>
      </w:r>
    </w:p>
    <w:p w14:paraId="3173FFB6" w14:textId="77777777" w:rsidR="00CA46B8" w:rsidRDefault="00597A3B" w:rsidP="00A333C7">
      <w:pPr>
        <w:jc w:val="both"/>
        <w:rPr>
          <w:sz w:val="24"/>
          <w:szCs w:val="24"/>
        </w:rPr>
      </w:pPr>
      <w:r w:rsidRPr="00CA46B8">
        <w:rPr>
          <w:sz w:val="24"/>
          <w:szCs w:val="24"/>
        </w:rPr>
        <w:t xml:space="preserve">Les candidatures envoyées doivent contenir : </w:t>
      </w:r>
    </w:p>
    <w:p w14:paraId="5E394EB2" w14:textId="77777777" w:rsidR="00CA46B8" w:rsidRDefault="00597A3B" w:rsidP="00A333C7">
      <w:pPr>
        <w:pStyle w:val="Paragraphedeliste"/>
        <w:numPr>
          <w:ilvl w:val="0"/>
          <w:numId w:val="6"/>
        </w:numPr>
        <w:jc w:val="both"/>
        <w:rPr>
          <w:sz w:val="24"/>
          <w:szCs w:val="24"/>
        </w:rPr>
      </w:pPr>
      <w:r w:rsidRPr="00CA46B8">
        <w:rPr>
          <w:sz w:val="24"/>
          <w:szCs w:val="24"/>
        </w:rPr>
        <w:t>Le CV de l’expert</w:t>
      </w:r>
      <w:r w:rsidR="005B6052" w:rsidRPr="00CA46B8">
        <w:rPr>
          <w:sz w:val="24"/>
          <w:szCs w:val="24"/>
        </w:rPr>
        <w:t> ;</w:t>
      </w:r>
      <w:r w:rsidRPr="00CA46B8">
        <w:rPr>
          <w:sz w:val="24"/>
          <w:szCs w:val="24"/>
        </w:rPr>
        <w:t xml:space="preserve"> </w:t>
      </w:r>
    </w:p>
    <w:p w14:paraId="799B07E5" w14:textId="77777777" w:rsidR="00CA46B8" w:rsidRDefault="00597A3B" w:rsidP="00A333C7">
      <w:pPr>
        <w:pStyle w:val="Paragraphedeliste"/>
        <w:numPr>
          <w:ilvl w:val="0"/>
          <w:numId w:val="6"/>
        </w:numPr>
        <w:jc w:val="both"/>
        <w:rPr>
          <w:sz w:val="24"/>
          <w:szCs w:val="24"/>
        </w:rPr>
      </w:pPr>
      <w:r w:rsidRPr="00CA46B8">
        <w:rPr>
          <w:sz w:val="24"/>
          <w:szCs w:val="24"/>
        </w:rPr>
        <w:t>Une offre financière</w:t>
      </w:r>
      <w:r w:rsidR="005B6052" w:rsidRPr="00CA46B8">
        <w:rPr>
          <w:sz w:val="24"/>
          <w:szCs w:val="24"/>
        </w:rPr>
        <w:t> ;</w:t>
      </w:r>
      <w:r w:rsidRPr="00CA46B8">
        <w:rPr>
          <w:sz w:val="24"/>
          <w:szCs w:val="24"/>
        </w:rPr>
        <w:t xml:space="preserve"> </w:t>
      </w:r>
    </w:p>
    <w:p w14:paraId="22876448" w14:textId="007DEA88" w:rsidR="00597A3B" w:rsidRPr="00CA46B8" w:rsidRDefault="00597A3B" w:rsidP="00A333C7">
      <w:pPr>
        <w:pStyle w:val="Paragraphedeliste"/>
        <w:numPr>
          <w:ilvl w:val="0"/>
          <w:numId w:val="6"/>
        </w:numPr>
        <w:jc w:val="both"/>
        <w:rPr>
          <w:sz w:val="24"/>
          <w:szCs w:val="24"/>
        </w:rPr>
      </w:pPr>
      <w:r w:rsidRPr="00CA46B8">
        <w:rPr>
          <w:sz w:val="24"/>
          <w:szCs w:val="24"/>
        </w:rPr>
        <w:t>Une offre méthodologique (maximum 3 pages)</w:t>
      </w:r>
      <w:r w:rsidR="005B6052" w:rsidRPr="00CA46B8">
        <w:rPr>
          <w:sz w:val="24"/>
          <w:szCs w:val="24"/>
        </w:rPr>
        <w:t>.</w:t>
      </w:r>
    </w:p>
    <w:p w14:paraId="1E9ED302" w14:textId="77777777" w:rsidR="00A333C7" w:rsidRDefault="00597A3B" w:rsidP="00A333C7">
      <w:pPr>
        <w:jc w:val="both"/>
        <w:rPr>
          <w:sz w:val="24"/>
          <w:szCs w:val="24"/>
        </w:rPr>
      </w:pPr>
      <w:r w:rsidRPr="00597A3B">
        <w:rPr>
          <w:sz w:val="24"/>
          <w:szCs w:val="24"/>
        </w:rPr>
        <w:t>Les offres doivent être envoyées par e</w:t>
      </w:r>
      <w:r w:rsidR="00CA46B8">
        <w:rPr>
          <w:sz w:val="24"/>
          <w:szCs w:val="24"/>
        </w:rPr>
        <w:t>-</w:t>
      </w:r>
      <w:r w:rsidRPr="00597A3B">
        <w:rPr>
          <w:sz w:val="24"/>
          <w:szCs w:val="24"/>
        </w:rPr>
        <w:t>mail sur</w:t>
      </w:r>
      <w:r w:rsidRPr="00CA46B8">
        <w:rPr>
          <w:sz w:val="24"/>
          <w:szCs w:val="24"/>
        </w:rPr>
        <w:t xml:space="preserve"> : </w:t>
      </w:r>
      <w:hyperlink r:id="rId5" w:history="1">
        <w:r w:rsidR="00A333C7" w:rsidRPr="00A541EF">
          <w:rPr>
            <w:rStyle w:val="Lienhypertexte"/>
            <w:sz w:val="24"/>
            <w:szCs w:val="24"/>
          </w:rPr>
          <w:t>freesight2011@gmail.com</w:t>
        </w:r>
      </w:hyperlink>
      <w:r w:rsidR="00A333C7">
        <w:rPr>
          <w:sz w:val="24"/>
          <w:szCs w:val="24"/>
        </w:rPr>
        <w:t xml:space="preserve"> </w:t>
      </w:r>
    </w:p>
    <w:p w14:paraId="58D20D52" w14:textId="33A16033" w:rsidR="00597A3B" w:rsidRPr="00A333C7" w:rsidRDefault="00A333C7" w:rsidP="00A333C7">
      <w:pPr>
        <w:jc w:val="center"/>
        <w:rPr>
          <w:b/>
          <w:bCs/>
          <w:sz w:val="24"/>
          <w:szCs w:val="24"/>
          <w:u w:val="single"/>
        </w:rPr>
      </w:pPr>
      <w:r w:rsidRPr="00A333C7">
        <w:rPr>
          <w:b/>
          <w:bCs/>
          <w:sz w:val="24"/>
          <w:szCs w:val="24"/>
          <w:u w:val="single"/>
        </w:rPr>
        <w:t xml:space="preserve">avant le </w:t>
      </w:r>
      <w:r w:rsidR="00E529BE">
        <w:rPr>
          <w:b/>
          <w:bCs/>
          <w:sz w:val="24"/>
          <w:szCs w:val="24"/>
          <w:u w:val="single"/>
        </w:rPr>
        <w:t>06</w:t>
      </w:r>
      <w:r w:rsidRPr="00A333C7">
        <w:rPr>
          <w:b/>
          <w:bCs/>
          <w:sz w:val="24"/>
          <w:szCs w:val="24"/>
          <w:u w:val="single"/>
        </w:rPr>
        <w:t>/0</w:t>
      </w:r>
      <w:r w:rsidR="00E529BE">
        <w:rPr>
          <w:b/>
          <w:bCs/>
          <w:sz w:val="24"/>
          <w:szCs w:val="24"/>
          <w:u w:val="single"/>
        </w:rPr>
        <w:t>8</w:t>
      </w:r>
      <w:r w:rsidRPr="00A333C7">
        <w:rPr>
          <w:b/>
          <w:bCs/>
          <w:sz w:val="24"/>
          <w:szCs w:val="24"/>
          <w:u w:val="single"/>
        </w:rPr>
        <w:t>/2023 à 23 :59</w:t>
      </w:r>
    </w:p>
    <w:p w14:paraId="2A5F178E" w14:textId="77777777" w:rsidR="00837F61" w:rsidRPr="00CA46B8" w:rsidRDefault="00837F61" w:rsidP="00597A3B">
      <w:pPr>
        <w:rPr>
          <w:sz w:val="24"/>
          <w:szCs w:val="24"/>
        </w:rPr>
      </w:pPr>
    </w:p>
    <w:p w14:paraId="533710EC" w14:textId="4A7D0B5D" w:rsidR="00837F61" w:rsidRPr="00CA46B8" w:rsidRDefault="00837F61" w:rsidP="00837F61">
      <w:pPr>
        <w:rPr>
          <w:b/>
          <w:bCs/>
          <w:sz w:val="24"/>
          <w:szCs w:val="24"/>
        </w:rPr>
      </w:pPr>
      <w:r w:rsidRPr="00CA46B8">
        <w:rPr>
          <w:b/>
          <w:bCs/>
          <w:sz w:val="24"/>
          <w:szCs w:val="24"/>
        </w:rPr>
        <w:t xml:space="preserve">6-Jalons de paiement </w:t>
      </w:r>
    </w:p>
    <w:tbl>
      <w:tblPr>
        <w:tblStyle w:val="Grilledutableau"/>
        <w:tblW w:w="0" w:type="auto"/>
        <w:tblLook w:val="04A0" w:firstRow="1" w:lastRow="0" w:firstColumn="1" w:lastColumn="0" w:noHBand="0" w:noVBand="1"/>
      </w:tblPr>
      <w:tblGrid>
        <w:gridCol w:w="4531"/>
        <w:gridCol w:w="2657"/>
        <w:gridCol w:w="1874"/>
      </w:tblGrid>
      <w:tr w:rsidR="00837F61" w:rsidRPr="00CA46B8" w14:paraId="3DFECA45" w14:textId="77777777" w:rsidTr="00837F61">
        <w:tc>
          <w:tcPr>
            <w:tcW w:w="4531" w:type="dxa"/>
            <w:shd w:val="clear" w:color="auto" w:fill="D9D9D9" w:themeFill="background1" w:themeFillShade="D9"/>
          </w:tcPr>
          <w:p w14:paraId="6512AD2B" w14:textId="29AA2BBC" w:rsidR="00837F61" w:rsidRPr="00CA46B8" w:rsidRDefault="00837F61" w:rsidP="00837F61">
            <w:pPr>
              <w:jc w:val="center"/>
              <w:rPr>
                <w:b/>
                <w:bCs/>
                <w:sz w:val="24"/>
                <w:szCs w:val="24"/>
              </w:rPr>
            </w:pPr>
            <w:r w:rsidRPr="00CA46B8">
              <w:rPr>
                <w:b/>
                <w:bCs/>
                <w:sz w:val="24"/>
                <w:szCs w:val="24"/>
              </w:rPr>
              <w:t>Livrables</w:t>
            </w:r>
          </w:p>
        </w:tc>
        <w:tc>
          <w:tcPr>
            <w:tcW w:w="2657" w:type="dxa"/>
            <w:shd w:val="clear" w:color="auto" w:fill="D9D9D9" w:themeFill="background1" w:themeFillShade="D9"/>
          </w:tcPr>
          <w:p w14:paraId="188A3F5D" w14:textId="53EE235F" w:rsidR="00837F61" w:rsidRPr="00CA46B8" w:rsidRDefault="00837F61" w:rsidP="00837F61">
            <w:pPr>
              <w:jc w:val="center"/>
              <w:rPr>
                <w:b/>
                <w:bCs/>
                <w:sz w:val="24"/>
                <w:szCs w:val="24"/>
              </w:rPr>
            </w:pPr>
            <w:r w:rsidRPr="00CA46B8">
              <w:rPr>
                <w:b/>
                <w:bCs/>
                <w:sz w:val="24"/>
                <w:szCs w:val="24"/>
              </w:rPr>
              <w:t>Délais estimatifs</w:t>
            </w:r>
          </w:p>
        </w:tc>
        <w:tc>
          <w:tcPr>
            <w:tcW w:w="1874" w:type="dxa"/>
            <w:shd w:val="clear" w:color="auto" w:fill="D9D9D9" w:themeFill="background1" w:themeFillShade="D9"/>
          </w:tcPr>
          <w:p w14:paraId="0AAD861D" w14:textId="0810A03D" w:rsidR="00837F61" w:rsidRPr="00CA46B8" w:rsidRDefault="00837F61" w:rsidP="00837F61">
            <w:pPr>
              <w:jc w:val="center"/>
              <w:rPr>
                <w:b/>
                <w:bCs/>
                <w:sz w:val="24"/>
                <w:szCs w:val="24"/>
              </w:rPr>
            </w:pPr>
            <w:r w:rsidRPr="00CA46B8">
              <w:rPr>
                <w:b/>
                <w:bCs/>
                <w:sz w:val="24"/>
                <w:szCs w:val="24"/>
              </w:rPr>
              <w:t>Pourcentage</w:t>
            </w:r>
          </w:p>
        </w:tc>
      </w:tr>
      <w:tr w:rsidR="00837F61" w:rsidRPr="00CA46B8" w14:paraId="625DAEF5" w14:textId="77777777" w:rsidTr="00837F61">
        <w:tc>
          <w:tcPr>
            <w:tcW w:w="4531" w:type="dxa"/>
          </w:tcPr>
          <w:p w14:paraId="72A29AB2" w14:textId="1B3872AF" w:rsidR="00837F61" w:rsidRPr="00CA46B8" w:rsidRDefault="00837F61" w:rsidP="00837F61">
            <w:pPr>
              <w:rPr>
                <w:b/>
                <w:bCs/>
                <w:sz w:val="24"/>
                <w:szCs w:val="24"/>
              </w:rPr>
            </w:pPr>
            <w:r w:rsidRPr="00CA46B8">
              <w:rPr>
                <w:sz w:val="24"/>
                <w:szCs w:val="24"/>
              </w:rPr>
              <w:t>Une note d’orientation méthodologique incluant la méthodologie et un plan d’action détaillé</w:t>
            </w:r>
          </w:p>
        </w:tc>
        <w:tc>
          <w:tcPr>
            <w:tcW w:w="2657" w:type="dxa"/>
          </w:tcPr>
          <w:p w14:paraId="63159280" w14:textId="091CDF80" w:rsidR="00837F61" w:rsidRPr="00CA46B8" w:rsidRDefault="00837F61" w:rsidP="00837F61">
            <w:pPr>
              <w:rPr>
                <w:b/>
                <w:bCs/>
                <w:sz w:val="24"/>
                <w:szCs w:val="24"/>
              </w:rPr>
            </w:pPr>
            <w:r w:rsidRPr="00CA46B8">
              <w:rPr>
                <w:sz w:val="24"/>
                <w:szCs w:val="24"/>
              </w:rPr>
              <w:t>02 semaines après la signature du contrat</w:t>
            </w:r>
          </w:p>
        </w:tc>
        <w:tc>
          <w:tcPr>
            <w:tcW w:w="1874" w:type="dxa"/>
          </w:tcPr>
          <w:p w14:paraId="4DA231CF" w14:textId="19DB9985" w:rsidR="00837F61" w:rsidRPr="00CA46B8" w:rsidRDefault="00837F61" w:rsidP="00837F61">
            <w:pPr>
              <w:jc w:val="center"/>
              <w:rPr>
                <w:b/>
                <w:bCs/>
                <w:sz w:val="24"/>
                <w:szCs w:val="24"/>
              </w:rPr>
            </w:pPr>
            <w:r w:rsidRPr="00CA46B8">
              <w:rPr>
                <w:sz w:val="24"/>
                <w:szCs w:val="24"/>
              </w:rPr>
              <w:t>40 %</w:t>
            </w:r>
          </w:p>
        </w:tc>
      </w:tr>
      <w:tr w:rsidR="00837F61" w:rsidRPr="00CA46B8" w14:paraId="17C69841" w14:textId="77777777" w:rsidTr="00837F61">
        <w:tc>
          <w:tcPr>
            <w:tcW w:w="4531" w:type="dxa"/>
          </w:tcPr>
          <w:p w14:paraId="3F0DE843" w14:textId="04F7579D" w:rsidR="00837F61" w:rsidRPr="00CA46B8" w:rsidRDefault="00837F61" w:rsidP="00837F61">
            <w:pPr>
              <w:rPr>
                <w:b/>
                <w:bCs/>
                <w:sz w:val="24"/>
                <w:szCs w:val="24"/>
              </w:rPr>
            </w:pPr>
            <w:r w:rsidRPr="00CA46B8">
              <w:rPr>
                <w:sz w:val="24"/>
                <w:szCs w:val="24"/>
              </w:rPr>
              <w:t>Un rapport de capitalisation des projets financés par le FNUD</w:t>
            </w:r>
          </w:p>
        </w:tc>
        <w:tc>
          <w:tcPr>
            <w:tcW w:w="2657" w:type="dxa"/>
          </w:tcPr>
          <w:p w14:paraId="13942477" w14:textId="0D1C89DC" w:rsidR="00837F61" w:rsidRPr="00CA46B8" w:rsidRDefault="00837F61" w:rsidP="00837F61">
            <w:pPr>
              <w:rPr>
                <w:b/>
                <w:bCs/>
                <w:sz w:val="24"/>
                <w:szCs w:val="24"/>
              </w:rPr>
            </w:pPr>
            <w:r w:rsidRPr="00CA46B8">
              <w:rPr>
                <w:sz w:val="24"/>
                <w:szCs w:val="24"/>
              </w:rPr>
              <w:t>02 mois après signature du contrat</w:t>
            </w:r>
          </w:p>
        </w:tc>
        <w:tc>
          <w:tcPr>
            <w:tcW w:w="1874" w:type="dxa"/>
          </w:tcPr>
          <w:p w14:paraId="35479FB4" w14:textId="0E536D29" w:rsidR="00837F61" w:rsidRPr="00CA46B8" w:rsidRDefault="00837F61" w:rsidP="00837F61">
            <w:pPr>
              <w:jc w:val="center"/>
              <w:rPr>
                <w:b/>
                <w:bCs/>
                <w:sz w:val="24"/>
                <w:szCs w:val="24"/>
              </w:rPr>
            </w:pPr>
            <w:r w:rsidRPr="00CA46B8">
              <w:rPr>
                <w:sz w:val="24"/>
                <w:szCs w:val="24"/>
              </w:rPr>
              <w:t>60 %</w:t>
            </w:r>
          </w:p>
        </w:tc>
      </w:tr>
    </w:tbl>
    <w:p w14:paraId="0FD1101B" w14:textId="77777777" w:rsidR="00837F61" w:rsidRPr="00CA46B8" w:rsidRDefault="00837F61" w:rsidP="00837F61">
      <w:pPr>
        <w:rPr>
          <w:b/>
          <w:bCs/>
          <w:sz w:val="24"/>
          <w:szCs w:val="24"/>
        </w:rPr>
      </w:pPr>
    </w:p>
    <w:p w14:paraId="31207FB3" w14:textId="6DD4CCE2" w:rsidR="00837F61" w:rsidRPr="00CA46B8" w:rsidRDefault="00837F61" w:rsidP="00837F61">
      <w:pPr>
        <w:rPr>
          <w:b/>
          <w:bCs/>
          <w:sz w:val="24"/>
          <w:szCs w:val="24"/>
        </w:rPr>
      </w:pPr>
      <w:r w:rsidRPr="00CA46B8">
        <w:rPr>
          <w:b/>
          <w:bCs/>
          <w:sz w:val="24"/>
          <w:szCs w:val="24"/>
        </w:rPr>
        <w:t xml:space="preserve">7-Critères de sélection </w:t>
      </w:r>
    </w:p>
    <w:p w14:paraId="00B4A5E4" w14:textId="77777777" w:rsidR="00837F61" w:rsidRPr="00CA46B8" w:rsidRDefault="00837F61" w:rsidP="00837F61">
      <w:pPr>
        <w:rPr>
          <w:sz w:val="24"/>
          <w:szCs w:val="24"/>
        </w:rPr>
      </w:pPr>
      <w:r w:rsidRPr="00CA46B8">
        <w:rPr>
          <w:sz w:val="24"/>
          <w:szCs w:val="24"/>
        </w:rPr>
        <w:t>Grille d’évaluation</w:t>
      </w:r>
    </w:p>
    <w:tbl>
      <w:tblPr>
        <w:tblStyle w:val="Grilledutableau"/>
        <w:tblW w:w="0" w:type="auto"/>
        <w:tblLook w:val="04A0" w:firstRow="1" w:lastRow="0" w:firstColumn="1" w:lastColumn="0" w:noHBand="0" w:noVBand="1"/>
      </w:tblPr>
      <w:tblGrid>
        <w:gridCol w:w="6516"/>
        <w:gridCol w:w="2546"/>
      </w:tblGrid>
      <w:tr w:rsidR="00837F61" w:rsidRPr="00CA46B8" w14:paraId="2E22D68B" w14:textId="77777777" w:rsidTr="00837F61">
        <w:tc>
          <w:tcPr>
            <w:tcW w:w="6516" w:type="dxa"/>
            <w:shd w:val="clear" w:color="auto" w:fill="D9D9D9" w:themeFill="background1" w:themeFillShade="D9"/>
          </w:tcPr>
          <w:p w14:paraId="21566066" w14:textId="59318954" w:rsidR="00837F61" w:rsidRPr="00CA46B8" w:rsidRDefault="00837F61" w:rsidP="00837F61">
            <w:pPr>
              <w:jc w:val="center"/>
              <w:rPr>
                <w:b/>
                <w:bCs/>
                <w:sz w:val="24"/>
                <w:szCs w:val="24"/>
              </w:rPr>
            </w:pPr>
            <w:r w:rsidRPr="00CA46B8">
              <w:rPr>
                <w:b/>
                <w:bCs/>
                <w:sz w:val="24"/>
                <w:szCs w:val="24"/>
              </w:rPr>
              <w:t>Critères</w:t>
            </w:r>
          </w:p>
        </w:tc>
        <w:tc>
          <w:tcPr>
            <w:tcW w:w="2546" w:type="dxa"/>
            <w:shd w:val="clear" w:color="auto" w:fill="D9D9D9" w:themeFill="background1" w:themeFillShade="D9"/>
          </w:tcPr>
          <w:p w14:paraId="09BCE17B" w14:textId="54046536" w:rsidR="00837F61" w:rsidRPr="00CA46B8" w:rsidRDefault="00837F61" w:rsidP="00837F61">
            <w:pPr>
              <w:jc w:val="center"/>
              <w:rPr>
                <w:b/>
                <w:bCs/>
                <w:sz w:val="24"/>
                <w:szCs w:val="24"/>
              </w:rPr>
            </w:pPr>
            <w:r w:rsidRPr="00CA46B8">
              <w:rPr>
                <w:b/>
                <w:bCs/>
                <w:sz w:val="24"/>
                <w:szCs w:val="24"/>
              </w:rPr>
              <w:t>Points maximum</w:t>
            </w:r>
          </w:p>
        </w:tc>
      </w:tr>
      <w:tr w:rsidR="00837F61" w:rsidRPr="00CA46B8" w14:paraId="5AB69815" w14:textId="77777777" w:rsidTr="00837F61">
        <w:tc>
          <w:tcPr>
            <w:tcW w:w="6516" w:type="dxa"/>
          </w:tcPr>
          <w:p w14:paraId="098D6871" w14:textId="47D2CA7E" w:rsidR="00837F61" w:rsidRPr="00CA46B8" w:rsidRDefault="00837F61" w:rsidP="00837F61">
            <w:pPr>
              <w:rPr>
                <w:sz w:val="24"/>
                <w:szCs w:val="24"/>
              </w:rPr>
            </w:pPr>
            <w:r w:rsidRPr="00CA46B8">
              <w:rPr>
                <w:sz w:val="24"/>
                <w:szCs w:val="24"/>
              </w:rPr>
              <w:t>Pertinence des qualifications académiques (Diplôme universitaire en sciences sociales, sciences de l’environnement ou tout autre domaine connexe)</w:t>
            </w:r>
          </w:p>
        </w:tc>
        <w:tc>
          <w:tcPr>
            <w:tcW w:w="2546" w:type="dxa"/>
          </w:tcPr>
          <w:p w14:paraId="10EC77A4" w14:textId="60CDA00A" w:rsidR="00837F61" w:rsidRPr="00CA46B8" w:rsidRDefault="00837F61" w:rsidP="00837F61">
            <w:pPr>
              <w:jc w:val="center"/>
              <w:rPr>
                <w:sz w:val="24"/>
                <w:szCs w:val="24"/>
              </w:rPr>
            </w:pPr>
            <w:r w:rsidRPr="00CA46B8">
              <w:rPr>
                <w:sz w:val="24"/>
                <w:szCs w:val="24"/>
              </w:rPr>
              <w:t>15</w:t>
            </w:r>
          </w:p>
        </w:tc>
      </w:tr>
      <w:tr w:rsidR="00837F61" w:rsidRPr="00CA46B8" w14:paraId="5486D17C" w14:textId="77777777" w:rsidTr="00837F61">
        <w:tc>
          <w:tcPr>
            <w:tcW w:w="6516" w:type="dxa"/>
          </w:tcPr>
          <w:p w14:paraId="29F53EBD" w14:textId="100FC3AF" w:rsidR="00837F61" w:rsidRPr="00CA46B8" w:rsidRDefault="00837F61" w:rsidP="00837F61">
            <w:pPr>
              <w:rPr>
                <w:sz w:val="24"/>
                <w:szCs w:val="24"/>
              </w:rPr>
            </w:pPr>
            <w:r w:rsidRPr="00CA46B8">
              <w:rPr>
                <w:sz w:val="24"/>
                <w:szCs w:val="24"/>
              </w:rPr>
              <w:t xml:space="preserve">Avoir au minimum 10 ans d’expériences professionnelles dans le domaine de l’évaluation et la formulation de projet </w:t>
            </w:r>
          </w:p>
        </w:tc>
        <w:tc>
          <w:tcPr>
            <w:tcW w:w="2546" w:type="dxa"/>
          </w:tcPr>
          <w:p w14:paraId="40749BB9" w14:textId="03BF406F" w:rsidR="00837F61" w:rsidRPr="00CA46B8" w:rsidRDefault="00837F61" w:rsidP="00837F61">
            <w:pPr>
              <w:jc w:val="center"/>
              <w:rPr>
                <w:sz w:val="24"/>
                <w:szCs w:val="24"/>
              </w:rPr>
            </w:pPr>
            <w:r w:rsidRPr="00CA46B8">
              <w:rPr>
                <w:sz w:val="24"/>
                <w:szCs w:val="24"/>
              </w:rPr>
              <w:t>20</w:t>
            </w:r>
          </w:p>
        </w:tc>
      </w:tr>
      <w:tr w:rsidR="00837F61" w:rsidRPr="00CA46B8" w14:paraId="646BC905" w14:textId="77777777" w:rsidTr="00837F61">
        <w:tc>
          <w:tcPr>
            <w:tcW w:w="6516" w:type="dxa"/>
          </w:tcPr>
          <w:p w14:paraId="531F749D" w14:textId="32CEC7EB" w:rsidR="00837F61" w:rsidRPr="00CA46B8" w:rsidRDefault="00837F61" w:rsidP="00837F61">
            <w:pPr>
              <w:rPr>
                <w:sz w:val="24"/>
                <w:szCs w:val="24"/>
              </w:rPr>
            </w:pPr>
            <w:r w:rsidRPr="00CA46B8">
              <w:rPr>
                <w:sz w:val="24"/>
                <w:szCs w:val="24"/>
              </w:rPr>
              <w:t>Expérience professionnelle dans des missions similaires</w:t>
            </w:r>
          </w:p>
        </w:tc>
        <w:tc>
          <w:tcPr>
            <w:tcW w:w="2546" w:type="dxa"/>
          </w:tcPr>
          <w:p w14:paraId="78C97A75" w14:textId="33564C2D" w:rsidR="00837F61" w:rsidRPr="00CA46B8" w:rsidRDefault="00837F61" w:rsidP="00837F61">
            <w:pPr>
              <w:jc w:val="center"/>
              <w:rPr>
                <w:sz w:val="24"/>
                <w:szCs w:val="24"/>
              </w:rPr>
            </w:pPr>
            <w:r w:rsidRPr="00CA46B8">
              <w:rPr>
                <w:sz w:val="24"/>
                <w:szCs w:val="24"/>
              </w:rPr>
              <w:t>35</w:t>
            </w:r>
          </w:p>
        </w:tc>
      </w:tr>
      <w:tr w:rsidR="00837F61" w:rsidRPr="00CA46B8" w14:paraId="3241632D" w14:textId="77777777" w:rsidTr="00837F61">
        <w:tc>
          <w:tcPr>
            <w:tcW w:w="6516" w:type="dxa"/>
          </w:tcPr>
          <w:p w14:paraId="160BC206" w14:textId="3162D71E" w:rsidR="00837F61" w:rsidRPr="00CA46B8" w:rsidRDefault="00837F61" w:rsidP="00837F61">
            <w:pPr>
              <w:rPr>
                <w:sz w:val="24"/>
                <w:szCs w:val="24"/>
              </w:rPr>
            </w:pPr>
            <w:r w:rsidRPr="00CA46B8">
              <w:rPr>
                <w:sz w:val="24"/>
                <w:szCs w:val="24"/>
              </w:rPr>
              <w:t>Pertinence de la méthodologie proposée</w:t>
            </w:r>
          </w:p>
        </w:tc>
        <w:tc>
          <w:tcPr>
            <w:tcW w:w="2546" w:type="dxa"/>
          </w:tcPr>
          <w:p w14:paraId="5C1F27A9" w14:textId="28E08E2B" w:rsidR="00837F61" w:rsidRPr="00CA46B8" w:rsidRDefault="00837F61" w:rsidP="00837F61">
            <w:pPr>
              <w:jc w:val="center"/>
              <w:rPr>
                <w:sz w:val="24"/>
                <w:szCs w:val="24"/>
              </w:rPr>
            </w:pPr>
            <w:r w:rsidRPr="00CA46B8">
              <w:rPr>
                <w:sz w:val="24"/>
                <w:szCs w:val="24"/>
              </w:rPr>
              <w:t>30</w:t>
            </w:r>
          </w:p>
        </w:tc>
      </w:tr>
      <w:tr w:rsidR="00837F61" w:rsidRPr="00CA46B8" w14:paraId="495C9260" w14:textId="77777777" w:rsidTr="00837F61">
        <w:tc>
          <w:tcPr>
            <w:tcW w:w="6516" w:type="dxa"/>
          </w:tcPr>
          <w:p w14:paraId="11867497" w14:textId="0FB89FAD" w:rsidR="00837F61" w:rsidRPr="00CA46B8" w:rsidRDefault="00837F61" w:rsidP="00837F61">
            <w:pPr>
              <w:rPr>
                <w:b/>
                <w:bCs/>
                <w:sz w:val="24"/>
                <w:szCs w:val="24"/>
              </w:rPr>
            </w:pPr>
            <w:r w:rsidRPr="00CA46B8">
              <w:rPr>
                <w:b/>
                <w:bCs/>
                <w:sz w:val="24"/>
                <w:szCs w:val="24"/>
              </w:rPr>
              <w:t>Total</w:t>
            </w:r>
          </w:p>
        </w:tc>
        <w:tc>
          <w:tcPr>
            <w:tcW w:w="2546" w:type="dxa"/>
          </w:tcPr>
          <w:p w14:paraId="6E338404" w14:textId="28B74DDA" w:rsidR="00837F61" w:rsidRPr="00CA46B8" w:rsidRDefault="00837F61" w:rsidP="00837F61">
            <w:pPr>
              <w:jc w:val="center"/>
              <w:rPr>
                <w:b/>
                <w:bCs/>
                <w:sz w:val="24"/>
                <w:szCs w:val="24"/>
              </w:rPr>
            </w:pPr>
            <w:r w:rsidRPr="00CA46B8">
              <w:rPr>
                <w:b/>
                <w:bCs/>
                <w:sz w:val="24"/>
                <w:szCs w:val="24"/>
              </w:rPr>
              <w:t>100</w:t>
            </w:r>
          </w:p>
        </w:tc>
      </w:tr>
    </w:tbl>
    <w:p w14:paraId="2E018257" w14:textId="0AF1FE47" w:rsidR="00837F61" w:rsidRPr="00CA46B8" w:rsidRDefault="00837F61" w:rsidP="00837F61">
      <w:pPr>
        <w:rPr>
          <w:sz w:val="24"/>
          <w:szCs w:val="24"/>
        </w:rPr>
      </w:pPr>
      <w:r w:rsidRPr="00CA46B8">
        <w:rPr>
          <w:sz w:val="24"/>
          <w:szCs w:val="24"/>
        </w:rPr>
        <w:t xml:space="preserve"> </w:t>
      </w:r>
    </w:p>
    <w:p w14:paraId="5E855440" w14:textId="77777777" w:rsidR="00CA46B8" w:rsidRDefault="00837F61" w:rsidP="00837F61">
      <w:pPr>
        <w:rPr>
          <w:sz w:val="24"/>
          <w:szCs w:val="24"/>
        </w:rPr>
      </w:pPr>
      <w:r w:rsidRPr="00CA46B8">
        <w:rPr>
          <w:sz w:val="24"/>
          <w:szCs w:val="24"/>
        </w:rPr>
        <w:t>L’évaluation sera ainsi répartie :</w:t>
      </w:r>
    </w:p>
    <w:p w14:paraId="6915B393" w14:textId="77777777" w:rsidR="00CA46B8" w:rsidRDefault="00837F61" w:rsidP="00CA46B8">
      <w:pPr>
        <w:pStyle w:val="Paragraphedeliste"/>
        <w:numPr>
          <w:ilvl w:val="0"/>
          <w:numId w:val="7"/>
        </w:numPr>
        <w:rPr>
          <w:sz w:val="24"/>
          <w:szCs w:val="24"/>
        </w:rPr>
      </w:pPr>
      <w:r w:rsidRPr="00CA46B8">
        <w:rPr>
          <w:sz w:val="24"/>
          <w:szCs w:val="24"/>
        </w:rPr>
        <w:t xml:space="preserve">70% offre technique ; </w:t>
      </w:r>
    </w:p>
    <w:p w14:paraId="24AF0594" w14:textId="37D45D8D" w:rsidR="00837F61" w:rsidRPr="00CA46B8" w:rsidRDefault="00837F61" w:rsidP="00CA46B8">
      <w:pPr>
        <w:pStyle w:val="Paragraphedeliste"/>
        <w:numPr>
          <w:ilvl w:val="0"/>
          <w:numId w:val="7"/>
        </w:numPr>
        <w:rPr>
          <w:sz w:val="24"/>
          <w:szCs w:val="24"/>
        </w:rPr>
      </w:pPr>
      <w:r w:rsidRPr="00CA46B8">
        <w:rPr>
          <w:sz w:val="24"/>
          <w:szCs w:val="24"/>
        </w:rPr>
        <w:t>30% offre financière.</w:t>
      </w:r>
    </w:p>
    <w:sectPr w:rsidR="00837F61" w:rsidRPr="00CA46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E08663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17A15A3"/>
    <w:multiLevelType w:val="hybridMultilevel"/>
    <w:tmpl w:val="8F7606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C2D28C1"/>
    <w:multiLevelType w:val="hybridMultilevel"/>
    <w:tmpl w:val="5282CE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35A6C69"/>
    <w:multiLevelType w:val="hybridMultilevel"/>
    <w:tmpl w:val="7A7437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6335631"/>
    <w:multiLevelType w:val="multilevel"/>
    <w:tmpl w:val="B13CCF8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56E71E07"/>
    <w:multiLevelType w:val="hybridMultilevel"/>
    <w:tmpl w:val="5E6A6E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D660994"/>
    <w:multiLevelType w:val="hybridMultilevel"/>
    <w:tmpl w:val="54C0BE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43074518">
    <w:abstractNumId w:val="0"/>
  </w:num>
  <w:num w:numId="2" w16cid:durableId="435828908">
    <w:abstractNumId w:val="4"/>
  </w:num>
  <w:num w:numId="3" w16cid:durableId="1505777174">
    <w:abstractNumId w:val="5"/>
  </w:num>
  <w:num w:numId="4" w16cid:durableId="536042465">
    <w:abstractNumId w:val="6"/>
  </w:num>
  <w:num w:numId="5" w16cid:durableId="1447119316">
    <w:abstractNumId w:val="2"/>
  </w:num>
  <w:num w:numId="6" w16cid:durableId="1279491277">
    <w:abstractNumId w:val="3"/>
  </w:num>
  <w:num w:numId="7" w16cid:durableId="2432199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0D4"/>
    <w:rsid w:val="000003A9"/>
    <w:rsid w:val="000609DD"/>
    <w:rsid w:val="000D28D2"/>
    <w:rsid w:val="001F070E"/>
    <w:rsid w:val="00216CDD"/>
    <w:rsid w:val="004C43E4"/>
    <w:rsid w:val="00597A3B"/>
    <w:rsid w:val="005B6052"/>
    <w:rsid w:val="006D5317"/>
    <w:rsid w:val="008211AD"/>
    <w:rsid w:val="00837F61"/>
    <w:rsid w:val="008763CB"/>
    <w:rsid w:val="00A333C7"/>
    <w:rsid w:val="00AF00D4"/>
    <w:rsid w:val="00C102CE"/>
    <w:rsid w:val="00CA46B8"/>
    <w:rsid w:val="00D15D3D"/>
    <w:rsid w:val="00E529BE"/>
    <w:rsid w:val="00E80E3F"/>
    <w:rsid w:val="00F02B5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38966"/>
  <w15:chartTrackingRefBased/>
  <w15:docId w15:val="{36A4A4C7-2E60-4583-9986-CF558BAA2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97A3B"/>
    <w:pPr>
      <w:ind w:left="720"/>
      <w:contextualSpacing/>
    </w:pPr>
  </w:style>
  <w:style w:type="table" w:styleId="Grilledutableau">
    <w:name w:val="Table Grid"/>
    <w:basedOn w:val="TableauNormal"/>
    <w:uiPriority w:val="39"/>
    <w:rsid w:val="00837F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A333C7"/>
    <w:rPr>
      <w:color w:val="0563C1" w:themeColor="hyperlink"/>
      <w:u w:val="single"/>
    </w:rPr>
  </w:style>
  <w:style w:type="character" w:styleId="Mentionnonrsolue">
    <w:name w:val="Unresolved Mention"/>
    <w:basedOn w:val="Policepardfaut"/>
    <w:uiPriority w:val="99"/>
    <w:semiHidden/>
    <w:unhideWhenUsed/>
    <w:rsid w:val="00A333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reesight2011@gmail.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903</Words>
  <Characters>4971</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faycal dchicha</dc:creator>
  <cp:keywords/>
  <dc:description/>
  <cp:lastModifiedBy>ranimmosbeh chaknasr</cp:lastModifiedBy>
  <cp:revision>2</cp:revision>
  <dcterms:created xsi:type="dcterms:W3CDTF">2023-07-31T12:41:00Z</dcterms:created>
  <dcterms:modified xsi:type="dcterms:W3CDTF">2023-07-31T12:41:00Z</dcterms:modified>
</cp:coreProperties>
</file>